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Times New Roman" w:hAnsi="Times New Roman" w:eastAsia="CESI黑体-GB2312" w:cs="CESI黑体-GB2312"/>
          <w:color w:val="000000"/>
          <w:sz w:val="32"/>
          <w:szCs w:val="28"/>
          <w:shd w:val="clear" w:color="auto" w:fill="FFFFFF"/>
        </w:rPr>
      </w:pPr>
      <w:r>
        <w:rPr>
          <w:rFonts w:hint="eastAsia" w:ascii="Times New Roman" w:hAnsi="Times New Roman" w:eastAsia="CESI黑体-GB2312" w:cs="CESI黑体-GB2312"/>
          <w:color w:val="000000"/>
          <w:sz w:val="32"/>
          <w:szCs w:val="28"/>
          <w:shd w:val="clear" w:color="auto" w:fill="FFFFFF"/>
        </w:rPr>
        <w:t>附件1</w:t>
      </w:r>
    </w:p>
    <w:p>
      <w:pPr>
        <w:adjustRightInd w:val="0"/>
        <w:snapToGrid w:val="0"/>
        <w:spacing w:line="520" w:lineRule="exact"/>
        <w:rPr>
          <w:rFonts w:hint="eastAsia" w:ascii="CESI黑体-GB2312" w:hAnsi="CESI黑体-GB2312" w:eastAsia="CESI黑体-GB2312" w:cs="CESI黑体-GB2312"/>
          <w:color w:val="000000"/>
          <w:sz w:val="18"/>
          <w:szCs w:val="16"/>
          <w:shd w:val="clear" w:color="auto" w:fill="FFFFFF"/>
        </w:rPr>
      </w:pPr>
    </w:p>
    <w:p>
      <w:pPr>
        <w:snapToGrid w:val="0"/>
        <w:spacing w:line="520" w:lineRule="exact"/>
        <w:jc w:val="center"/>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长江水生生物科学委员会主要职责和运行机制</w:t>
      </w:r>
    </w:p>
    <w:bookmarkEnd w:id="0"/>
    <w:p>
      <w:pPr>
        <w:adjustRightInd w:val="0"/>
        <w:snapToGrid w:val="0"/>
        <w:spacing w:line="520" w:lineRule="exact"/>
        <w:ind w:firstLine="560" w:firstLineChars="200"/>
        <w:rPr>
          <w:rFonts w:hint="eastAsia" w:eastAsia="仿宋" w:cs="微软雅黑"/>
          <w:color w:val="000000"/>
          <w:sz w:val="28"/>
          <w:szCs w:val="24"/>
          <w:shd w:val="clear" w:color="auto" w:fill="FFFFFF"/>
        </w:rPr>
      </w:pP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一、长科委主要负责对长江水生生物保护和管理的重大政策、规划、措施等，开展专业咨询和评估论证，包括：</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（一）对长江水生生物保护与管理的有关重要法律、法规、政策、规划</w:t>
      </w:r>
      <w:r>
        <w:rPr>
          <w:rFonts w:hint="eastAsia" w:eastAsia="仿宋" w:cs="微软雅黑"/>
          <w:color w:val="000000"/>
          <w:sz w:val="32"/>
          <w:szCs w:val="28"/>
          <w:shd w:val="clear" w:color="auto" w:fill="FFFFFF"/>
          <w:lang w:eastAsia="zh-CN"/>
        </w:rPr>
        <w:t>、</w:t>
      </w:r>
      <w:r>
        <w:rPr>
          <w:rFonts w:hint="eastAsia" w:eastAsia="仿宋" w:cs="微软雅黑"/>
          <w:color w:val="000000"/>
          <w:sz w:val="32"/>
          <w:szCs w:val="28"/>
          <w:shd w:val="clear" w:color="auto" w:fill="FFFFFF"/>
          <w:lang w:val="en-US" w:eastAsia="zh-CN"/>
        </w:rPr>
        <w:t>标准</w:t>
      </w:r>
      <w:r>
        <w:rPr>
          <w:rFonts w:hint="eastAsia" w:eastAsia="仿宋" w:cs="微软雅黑"/>
          <w:color w:val="000000"/>
          <w:sz w:val="32"/>
          <w:szCs w:val="28"/>
          <w:shd w:val="clear" w:color="auto" w:fill="FFFFFF"/>
        </w:rPr>
        <w:t>和措施等提出意见建议，提供科学技术支撑；</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（二）</w:t>
      </w:r>
      <w:r>
        <w:rPr>
          <w:rFonts w:eastAsia="仿宋" w:cs="微软雅黑"/>
          <w:color w:val="000000"/>
          <w:sz w:val="32"/>
          <w:szCs w:val="28"/>
          <w:shd w:val="clear" w:color="auto" w:fill="FFFFFF"/>
        </w:rPr>
        <w:t>对《长江水生生物保护管理规定》中涉及的调查监测、涉渔评价、保护措施、禁捕管理等工作提供技术支持</w:t>
      </w:r>
      <w:r>
        <w:rPr>
          <w:rFonts w:hint="eastAsia" w:eastAsia="仿宋" w:cs="微软雅黑"/>
          <w:color w:val="000000"/>
          <w:sz w:val="32"/>
          <w:szCs w:val="28"/>
          <w:shd w:val="clear" w:color="auto" w:fill="FFFFFF"/>
        </w:rPr>
        <w:t>或咨询论证；</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eastAsia="仿宋" w:cs="微软雅黑"/>
          <w:color w:val="000000"/>
          <w:sz w:val="32"/>
          <w:szCs w:val="28"/>
          <w:shd w:val="clear" w:color="auto" w:fill="FFFFFF"/>
        </w:rPr>
        <w:t>（</w:t>
      </w:r>
      <w:r>
        <w:rPr>
          <w:rFonts w:hint="eastAsia" w:eastAsia="仿宋" w:cs="微软雅黑"/>
          <w:color w:val="000000"/>
          <w:sz w:val="32"/>
          <w:szCs w:val="28"/>
          <w:shd w:val="clear" w:color="auto" w:fill="FFFFFF"/>
        </w:rPr>
        <w:t>三</w:t>
      </w:r>
      <w:r>
        <w:rPr>
          <w:rFonts w:eastAsia="仿宋" w:cs="微软雅黑"/>
          <w:color w:val="000000"/>
          <w:sz w:val="32"/>
          <w:szCs w:val="28"/>
          <w:shd w:val="clear" w:color="auto" w:fill="FFFFFF"/>
        </w:rPr>
        <w:t>）</w:t>
      </w:r>
      <w:r>
        <w:rPr>
          <w:rFonts w:hint="eastAsia" w:eastAsia="仿宋" w:cs="微软雅黑"/>
          <w:color w:val="000000"/>
          <w:sz w:val="32"/>
          <w:szCs w:val="28"/>
          <w:shd w:val="clear" w:color="auto" w:fill="FFFFFF"/>
        </w:rPr>
        <w:t>对长江水生生物保护与管理重要研究领域、方向和选题提出建议，推动重大课题立项，提升总体研究水平，促进成果转化应用。</w:t>
      </w:r>
    </w:p>
    <w:p>
      <w:pPr>
        <w:adjustRightInd w:val="0"/>
        <w:snapToGrid w:val="0"/>
        <w:spacing w:line="560" w:lineRule="exact"/>
        <w:ind w:firstLine="640" w:firstLineChars="200"/>
        <w:rPr>
          <w:rFonts w:eastAsia="仿宋" w:cs="微软雅黑"/>
          <w:color w:val="000000"/>
          <w:sz w:val="32"/>
          <w:szCs w:val="28"/>
          <w:shd w:val="clear" w:color="auto" w:fill="FFFFFF"/>
        </w:rPr>
      </w:pPr>
      <w:r>
        <w:rPr>
          <w:rFonts w:hint="eastAsia" w:eastAsia="仿宋" w:cs="微软雅黑"/>
          <w:color w:val="000000"/>
          <w:sz w:val="32"/>
          <w:szCs w:val="28"/>
          <w:shd w:val="clear" w:color="auto" w:fill="FFFFFF"/>
        </w:rPr>
        <w:t>二、长科委设</w:t>
      </w:r>
      <w:r>
        <w:rPr>
          <w:rFonts w:hint="eastAsia" w:eastAsia="仿宋" w:cs="微软雅黑"/>
          <w:color w:val="000000"/>
          <w:sz w:val="32"/>
          <w:szCs w:val="28"/>
          <w:shd w:val="clear" w:color="auto" w:fill="FFFFFF"/>
          <w:lang w:eastAsia="zh-CN"/>
        </w:rPr>
        <w:t>荣誉主任</w:t>
      </w:r>
      <w:r>
        <w:rPr>
          <w:rFonts w:hint="eastAsia" w:eastAsia="仿宋" w:cs="微软雅黑"/>
          <w:color w:val="000000"/>
          <w:sz w:val="32"/>
          <w:szCs w:val="28"/>
          <w:shd w:val="clear" w:color="auto" w:fill="FFFFFF"/>
          <w:lang w:val="en-US" w:eastAsia="zh-CN"/>
        </w:rPr>
        <w:t>1名、</w:t>
      </w:r>
      <w:r>
        <w:rPr>
          <w:rFonts w:hint="eastAsia" w:eastAsia="仿宋" w:cs="微软雅黑"/>
          <w:color w:val="000000"/>
          <w:sz w:val="32"/>
          <w:szCs w:val="28"/>
          <w:shd w:val="clear" w:color="auto" w:fill="FFFFFF"/>
        </w:rPr>
        <w:t>主任委员1名、副主任委员若干名，成员若干名。</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长科委日常办事机构设在农业农村部长江流域渔政监督管理办公室（</w:t>
      </w:r>
      <w:r>
        <w:rPr>
          <w:rFonts w:hint="eastAsia" w:eastAsia="仿宋" w:cs="微软雅黑"/>
          <w:color w:val="000000"/>
          <w:sz w:val="32"/>
          <w:szCs w:val="28"/>
          <w:shd w:val="clear" w:color="auto" w:fill="FFFFFF"/>
          <w:lang w:eastAsia="zh-CN"/>
        </w:rPr>
        <w:t>以下</w:t>
      </w:r>
      <w:r>
        <w:rPr>
          <w:rFonts w:hint="eastAsia" w:eastAsia="仿宋" w:cs="微软雅黑"/>
          <w:color w:val="000000"/>
          <w:sz w:val="32"/>
          <w:szCs w:val="28"/>
          <w:shd w:val="clear" w:color="auto" w:fill="FFFFFF"/>
        </w:rPr>
        <w:t>简称“长江办”）政策规划处。长江办可根据工作需要，邀请全体或部分委员召开长科委会议或专项工作会议。</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长科委会议或专项工作会议可采取自由发言、出具意见、主题辩论、投票表决等方式履行职责，相关成果作为长江水生生物保护与管理相关决策的重要依据。</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长科委下可设立专项委员会，负责对长江水生生物保护和管理具体专项提供技术支撑。另设涉渔工程专题影响评价专家委员会专家库，单独开展专题影响评价工作，专家库名单</w:t>
      </w:r>
      <w:r>
        <w:rPr>
          <w:rFonts w:hint="eastAsia" w:eastAsia="仿宋" w:cs="微软雅黑"/>
          <w:color w:val="000000"/>
          <w:sz w:val="32"/>
          <w:szCs w:val="28"/>
          <w:shd w:val="clear" w:color="auto" w:fill="FFFFFF"/>
          <w:lang w:val="en-US" w:eastAsia="zh-CN"/>
        </w:rPr>
        <w:t>需</w:t>
      </w:r>
      <w:r>
        <w:rPr>
          <w:rFonts w:hint="eastAsia" w:eastAsia="仿宋" w:cs="微软雅黑"/>
          <w:color w:val="000000"/>
          <w:sz w:val="32"/>
          <w:szCs w:val="28"/>
          <w:shd w:val="clear" w:color="auto" w:fill="FFFFFF"/>
        </w:rPr>
        <w:t>经长科委审议通过，并以</w:t>
      </w:r>
      <w:r>
        <w:rPr>
          <w:rFonts w:hint="eastAsia" w:eastAsia="仿宋" w:cs="微软雅黑"/>
          <w:color w:val="000000"/>
          <w:sz w:val="32"/>
          <w:szCs w:val="28"/>
          <w:shd w:val="clear" w:color="auto" w:fill="FFFFFF"/>
          <w:lang w:eastAsia="zh-CN"/>
        </w:rPr>
        <w:t>适当</w:t>
      </w:r>
      <w:r>
        <w:rPr>
          <w:rFonts w:hint="eastAsia" w:eastAsia="仿宋" w:cs="微软雅黑"/>
          <w:color w:val="000000"/>
          <w:sz w:val="32"/>
          <w:szCs w:val="28"/>
          <w:shd w:val="clear" w:color="auto" w:fill="FFFFFF"/>
        </w:rPr>
        <w:t>形式公布。</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三、专家组应由不少于5名长科委或长科委专项委员会相关领域专家组成。组织专家论证的重大事项包括</w:t>
      </w:r>
      <w:r>
        <w:rPr>
          <w:rFonts w:hint="eastAsia" w:eastAsia="仿宋" w:cs="微软雅黑"/>
          <w:color w:val="000000"/>
          <w:sz w:val="32"/>
          <w:szCs w:val="28"/>
          <w:shd w:val="clear" w:color="auto" w:fill="FFFFFF"/>
          <w:lang w:eastAsia="zh-CN"/>
        </w:rPr>
        <w:t>但不限于</w:t>
      </w:r>
      <w:r>
        <w:rPr>
          <w:rFonts w:hint="eastAsia" w:eastAsia="仿宋" w:cs="微软雅黑"/>
          <w:color w:val="000000"/>
          <w:sz w:val="32"/>
          <w:szCs w:val="28"/>
          <w:shd w:val="clear" w:color="auto" w:fill="FFFFFF"/>
        </w:rPr>
        <w:t>以下方面：</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（一）跨省级行政区域的水生生物保护管理政策措施；</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（二）国家级重点保护物种管理政策措施；</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（三）因科研、教学、环境影响评价等需要在禁渔期、禁渔区进行捕捞的省级年度捕捞计划和专项（特许）捕捞管理政策措施；</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（四）农业农村部通告明确的长江流域重点水域禁捕范围内（一江两湖七河一口）大水面生态渔业发展</w:t>
      </w:r>
      <w:r>
        <w:rPr>
          <w:rFonts w:hint="eastAsia" w:eastAsia="仿宋" w:cs="微软雅黑"/>
          <w:color w:val="000000"/>
          <w:sz w:val="32"/>
          <w:szCs w:val="28"/>
          <w:shd w:val="clear" w:color="auto" w:fill="FFFFFF"/>
          <w:lang w:eastAsia="zh-CN"/>
        </w:rPr>
        <w:t>管理</w:t>
      </w:r>
      <w:r>
        <w:rPr>
          <w:rFonts w:hint="eastAsia" w:eastAsia="仿宋" w:cs="微软雅黑"/>
          <w:color w:val="000000"/>
          <w:sz w:val="32"/>
          <w:szCs w:val="28"/>
          <w:shd w:val="clear" w:color="auto" w:fill="FFFFFF"/>
        </w:rPr>
        <w:t>措施</w:t>
      </w:r>
      <w:r>
        <w:rPr>
          <w:rFonts w:hint="eastAsia" w:eastAsia="仿宋" w:cs="微软雅黑"/>
          <w:color w:val="000000"/>
          <w:sz w:val="32"/>
          <w:szCs w:val="28"/>
          <w:shd w:val="clear" w:color="auto" w:fill="FFFFFF"/>
          <w:lang w:eastAsia="zh-CN"/>
        </w:rPr>
        <w:t>和实施方案</w:t>
      </w:r>
      <w:r>
        <w:rPr>
          <w:rFonts w:hint="eastAsia" w:eastAsia="仿宋" w:cs="微软雅黑"/>
          <w:color w:val="000000"/>
          <w:sz w:val="32"/>
          <w:szCs w:val="28"/>
          <w:shd w:val="clear" w:color="auto" w:fill="FFFFFF"/>
        </w:rPr>
        <w:t>；</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（五）涉国家级水生生物保护区工程建设项目专题影响评价和生态补偿措施；</w:t>
      </w:r>
    </w:p>
    <w:p>
      <w:pPr>
        <w:adjustRightInd w:val="0"/>
        <w:snapToGrid w:val="0"/>
        <w:spacing w:line="560" w:lineRule="exact"/>
        <w:ind w:firstLine="640" w:firstLineChars="200"/>
        <w:rPr>
          <w:rFonts w:eastAsia="仿宋" w:cs="微软雅黑"/>
          <w:color w:val="000000"/>
          <w:sz w:val="32"/>
          <w:szCs w:val="28"/>
          <w:shd w:val="clear" w:color="auto" w:fill="FFFFFF"/>
        </w:rPr>
      </w:pPr>
      <w:r>
        <w:rPr>
          <w:rFonts w:hint="eastAsia" w:eastAsia="仿宋" w:cs="微软雅黑"/>
          <w:color w:val="000000"/>
          <w:sz w:val="32"/>
          <w:szCs w:val="28"/>
          <w:shd w:val="clear" w:color="auto" w:fill="FFFFFF"/>
        </w:rPr>
        <w:t>（六）有关法律、行政法规、部门规章和规范性文件规定的其他相关事项。</w:t>
      </w:r>
    </w:p>
    <w:p>
      <w:pPr>
        <w:adjustRightInd w:val="0"/>
        <w:snapToGrid w:val="0"/>
        <w:spacing w:line="560" w:lineRule="exact"/>
        <w:ind w:firstLine="640" w:firstLineChars="200"/>
        <w:rPr>
          <w:rFonts w:hint="eastAsia" w:eastAsia="仿宋" w:cs="微软雅黑"/>
          <w:color w:val="000000"/>
          <w:sz w:val="32"/>
          <w:szCs w:val="28"/>
          <w:shd w:val="clear" w:color="auto" w:fill="FFFFFF"/>
        </w:rPr>
      </w:pPr>
      <w:r>
        <w:rPr>
          <w:rFonts w:hint="eastAsia" w:eastAsia="仿宋" w:cs="微软雅黑"/>
          <w:color w:val="000000"/>
          <w:sz w:val="32"/>
          <w:szCs w:val="28"/>
          <w:shd w:val="clear" w:color="auto" w:fill="FFFFFF"/>
        </w:rPr>
        <w:t>四、长科委成员由长江办负责聘任、发放聘书，每届聘期3年，可连选连聘。聘期内长江办可根据长江水生生物保护和管理需要，对长科委分组设置和专家组成员进行调整。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NmI5NTdkYTc3OWZhMTUwMmIyOGQ1M2MyOGMxNjkifQ=="/>
  </w:docVars>
  <w:rsids>
    <w:rsidRoot w:val="00000000"/>
    <w:rsid w:val="744A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2022-12-12T08:37:19Z</dcterms:created>
  <dc:creator>Lenovo</dc:creator>
  <cp:lastModifiedBy>Lenovo</cp:lastModifiedBy>
  <dcterms:modified xsi:type="dcterms:W3CDTF">2022-12-12T08:37:36Z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F83023352CC7491ABABD2F29465E9BAA</vt:lpwstr>
  </property>
</Properties>
</file>